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EDA6AF" w14:textId="04699EED" w:rsidR="2CB6799C" w:rsidRDefault="2CB6799C" w:rsidP="6ACBB8FC">
      <w:pPr>
        <w:pStyle w:val="Nadpis3"/>
        <w:shd w:val="clear" w:color="auto" w:fill="FFFFFF" w:themeFill="background1"/>
        <w:spacing w:before="432" w:after="432"/>
      </w:pPr>
      <w:r w:rsidRPr="6ACBB8FC">
        <w:rPr>
          <w:rFonts w:ascii="Open Sans" w:eastAsia="Open Sans" w:hAnsi="Open Sans" w:cs="Open Sans"/>
          <w:b/>
          <w:bCs/>
          <w:color w:val="808000"/>
        </w:rPr>
        <w:t>História a minulosť</w:t>
      </w:r>
    </w:p>
    <w:p w14:paraId="7F1CE506" w14:textId="7EA922FD" w:rsidR="2CB6799C" w:rsidRDefault="2CB6799C" w:rsidP="6ACBB8FC">
      <w:pPr>
        <w:shd w:val="clear" w:color="auto" w:fill="FFFFFF" w:themeFill="background1"/>
        <w:spacing w:before="240" w:after="240"/>
      </w:pPr>
      <w:r w:rsidRPr="6ACBB8FC">
        <w:rPr>
          <w:rFonts w:ascii="Open Sans" w:eastAsia="Open Sans" w:hAnsi="Open Sans" w:cs="Open Sans"/>
          <w:b/>
          <w:bCs/>
          <w:color w:val="4B4B4B"/>
          <w:sz w:val="21"/>
          <w:szCs w:val="21"/>
        </w:rPr>
        <w:t xml:space="preserve">Plocha dnešného mestského parku pôvodne slúžila na pastvu bujakov a ako pokusná strelnica pre vojakov na tzv. Dolných lúkach. Neskôr, v 40-tych rokoch 19. stor. vznikali prvé pokusy o vytvorenie parku vysadením stĺpovitých topoľov po jeho okraji. Finálna podoba parku bola navrhnutá v r. 1895 budapeštianskym krajinným architektom </w:t>
      </w:r>
      <w:proofErr w:type="spellStart"/>
      <w:r w:rsidRPr="6ACBB8FC">
        <w:rPr>
          <w:rFonts w:ascii="Open Sans" w:eastAsia="Open Sans" w:hAnsi="Open Sans" w:cs="Open Sans"/>
          <w:b/>
          <w:bCs/>
          <w:color w:val="4B4B4B"/>
          <w:sz w:val="21"/>
          <w:szCs w:val="21"/>
        </w:rPr>
        <w:t>Árminom</w:t>
      </w:r>
      <w:proofErr w:type="spellEnd"/>
      <w:r w:rsidRPr="6ACBB8FC">
        <w:rPr>
          <w:rFonts w:ascii="Open Sans" w:eastAsia="Open Sans" w:hAnsi="Open Sans" w:cs="Open Sans"/>
          <w:b/>
          <w:bCs/>
          <w:color w:val="4B4B4B"/>
          <w:sz w:val="21"/>
          <w:szCs w:val="21"/>
        </w:rPr>
        <w:t xml:space="preserve"> </w:t>
      </w:r>
      <w:proofErr w:type="spellStart"/>
      <w:r w:rsidRPr="6ACBB8FC">
        <w:rPr>
          <w:rFonts w:ascii="Open Sans" w:eastAsia="Open Sans" w:hAnsi="Open Sans" w:cs="Open Sans"/>
          <w:b/>
          <w:bCs/>
          <w:color w:val="4B4B4B"/>
          <w:sz w:val="21"/>
          <w:szCs w:val="21"/>
        </w:rPr>
        <w:t>Petzom</w:t>
      </w:r>
      <w:proofErr w:type="spellEnd"/>
      <w:r w:rsidRPr="6ACBB8FC">
        <w:rPr>
          <w:rFonts w:ascii="Open Sans" w:eastAsia="Open Sans" w:hAnsi="Open Sans" w:cs="Open Sans"/>
          <w:b/>
          <w:bCs/>
          <w:color w:val="4B4B4B"/>
          <w:sz w:val="21"/>
          <w:szCs w:val="21"/>
        </w:rPr>
        <w:t>.</w:t>
      </w:r>
    </w:p>
    <w:p w14:paraId="6BFE3B17" w14:textId="12D867DE" w:rsidR="2CB6799C" w:rsidRDefault="2CB6799C" w:rsidP="6ACBB8FC">
      <w:pPr>
        <w:shd w:val="clear" w:color="auto" w:fill="FFFFFF" w:themeFill="background1"/>
        <w:spacing w:before="240" w:after="240"/>
      </w:pPr>
      <w:r w:rsidRPr="6ACBB8FC">
        <w:rPr>
          <w:rFonts w:ascii="Open Sans" w:eastAsia="Open Sans" w:hAnsi="Open Sans" w:cs="Open Sans"/>
          <w:color w:val="4B4B4B"/>
          <w:sz w:val="21"/>
          <w:szCs w:val="21"/>
        </w:rPr>
        <w:t>Boli doplnené diagonálne a okružné chodníky, vysadené dreviny, kvetinové záhony a mobiliár. Z návrhu nebola zrealizovaná len vonkajšia okružná komunikácia. Základ tvorila pravidelná kompozícia s centrálnym kruhovým priestorom. Zo stredovej časti sa odvíjal obdĺžnikový parter, ktorý bol doplnený kvetinovými výsadbami.</w:t>
      </w:r>
    </w:p>
    <w:p w14:paraId="1A4EA526" w14:textId="5076C9CE" w:rsidR="2CB6799C" w:rsidRDefault="2CB6799C" w:rsidP="6ACBB8FC">
      <w:pPr>
        <w:shd w:val="clear" w:color="auto" w:fill="FFFFFF" w:themeFill="background1"/>
        <w:spacing w:before="240" w:after="240"/>
      </w:pPr>
      <w:r w:rsidRPr="6ACBB8FC">
        <w:rPr>
          <w:rFonts w:ascii="Open Sans" w:eastAsia="Open Sans" w:hAnsi="Open Sans" w:cs="Open Sans"/>
          <w:color w:val="4B4B4B"/>
          <w:sz w:val="21"/>
          <w:szCs w:val="21"/>
        </w:rPr>
        <w:t>Ako je viditeľné zo situácie (spodný obrázok na plagáte), v pôvodnom návrhu parku sa počítalo len s drevinami vysadenými v okolí alejí. Vnútorné priestory boli ponechané ako trávniky, kde sa mohli odohrávať kultúrne akcie či pikniky mešťanov.</w:t>
      </w:r>
    </w:p>
    <w:p w14:paraId="72E233D7" w14:textId="70B4A029" w:rsidR="2CB6799C" w:rsidRDefault="2CB6799C" w:rsidP="6ACBB8FC">
      <w:pPr>
        <w:shd w:val="clear" w:color="auto" w:fill="FFFFFF" w:themeFill="background1"/>
        <w:spacing w:before="240" w:after="240"/>
      </w:pPr>
      <w:r w:rsidRPr="6ACBB8FC">
        <w:rPr>
          <w:rFonts w:ascii="Open Sans" w:eastAsia="Open Sans" w:hAnsi="Open Sans" w:cs="Open Sans"/>
          <w:color w:val="4B4B4B"/>
          <w:sz w:val="21"/>
          <w:szCs w:val="21"/>
        </w:rPr>
        <w:t>Táto dispozícia parku, trasovanie chodníkov a najmä zeleň sa stali jednou z najdôležitejších predmetov pamiatkovej ochrany a nositeľom pamiatkových hodnôt.</w:t>
      </w:r>
    </w:p>
    <w:p w14:paraId="172ABFB3" w14:textId="330EE010" w:rsidR="2CB6799C" w:rsidRDefault="2CB6799C" w:rsidP="6ACBB8FC">
      <w:pPr>
        <w:shd w:val="clear" w:color="auto" w:fill="FFFFFF" w:themeFill="background1"/>
        <w:spacing w:before="240" w:after="240"/>
      </w:pPr>
      <w:r w:rsidRPr="6ACBB8FC">
        <w:rPr>
          <w:rFonts w:ascii="Open Sans" w:eastAsia="Open Sans" w:hAnsi="Open Sans" w:cs="Open Sans"/>
          <w:color w:val="4B4B4B"/>
          <w:sz w:val="21"/>
          <w:szCs w:val="21"/>
        </w:rPr>
        <w:t xml:space="preserve">Park bol v roku 1994 vyhlásený za Národnú kultúrnu pamiatku. Je zachovaný takmer v pôvodnej výmere a pôvodných hraniciach. Park sa postupne prispôsoboval potrebám návštevníkov a v centrálnom priestore pribudol altánok, súsošie matky s dieťaťom, vtáčie napájadlo, športové plochy vo forme detského ihriska, tenisové a volejbalové kurty a domček knižnice. Zmeny sa dotkli aj výsadby a to hlavne v 2. polovici 20. storočia, kedy sa najčastejšie sadili </w:t>
      </w:r>
      <w:proofErr w:type="spellStart"/>
      <w:r w:rsidRPr="6ACBB8FC">
        <w:rPr>
          <w:rFonts w:ascii="Open Sans" w:eastAsia="Open Sans" w:hAnsi="Open Sans" w:cs="Open Sans"/>
          <w:color w:val="4B4B4B"/>
          <w:sz w:val="21"/>
          <w:szCs w:val="21"/>
        </w:rPr>
        <w:t>ihličňany</w:t>
      </w:r>
      <w:proofErr w:type="spellEnd"/>
      <w:r w:rsidRPr="6ACBB8FC">
        <w:rPr>
          <w:rFonts w:ascii="Open Sans" w:eastAsia="Open Sans" w:hAnsi="Open Sans" w:cs="Open Sans"/>
          <w:color w:val="4B4B4B"/>
          <w:sz w:val="21"/>
          <w:szCs w:val="21"/>
        </w:rPr>
        <w:t xml:space="preserve"> ako napr. smreky (</w:t>
      </w:r>
      <w:proofErr w:type="spellStart"/>
      <w:r w:rsidRPr="6ACBB8FC">
        <w:rPr>
          <w:rFonts w:ascii="Open Sans" w:eastAsia="Open Sans" w:hAnsi="Open Sans" w:cs="Open Sans"/>
          <w:color w:val="4B4B4B"/>
          <w:sz w:val="21"/>
          <w:szCs w:val="21"/>
        </w:rPr>
        <w:t>Picea</w:t>
      </w:r>
      <w:proofErr w:type="spellEnd"/>
      <w:r w:rsidRPr="6ACBB8FC">
        <w:rPr>
          <w:rFonts w:ascii="Open Sans" w:eastAsia="Open Sans" w:hAnsi="Open Sans" w:cs="Open Sans"/>
          <w:color w:val="4B4B4B"/>
          <w:sz w:val="21"/>
          <w:szCs w:val="21"/>
        </w:rPr>
        <w:t>), borovice (</w:t>
      </w:r>
      <w:proofErr w:type="spellStart"/>
      <w:r w:rsidRPr="6ACBB8FC">
        <w:rPr>
          <w:rFonts w:ascii="Open Sans" w:eastAsia="Open Sans" w:hAnsi="Open Sans" w:cs="Open Sans"/>
          <w:color w:val="4B4B4B"/>
          <w:sz w:val="21"/>
          <w:szCs w:val="21"/>
        </w:rPr>
        <w:t>Pinus</w:t>
      </w:r>
      <w:proofErr w:type="spellEnd"/>
      <w:r w:rsidRPr="6ACBB8FC">
        <w:rPr>
          <w:rFonts w:ascii="Open Sans" w:eastAsia="Open Sans" w:hAnsi="Open Sans" w:cs="Open Sans"/>
          <w:color w:val="4B4B4B"/>
          <w:sz w:val="21"/>
          <w:szCs w:val="21"/>
        </w:rPr>
        <w:t>) a vyššie kry v podobe zlatého dažďa (</w:t>
      </w:r>
      <w:proofErr w:type="spellStart"/>
      <w:r w:rsidRPr="6ACBB8FC">
        <w:rPr>
          <w:rFonts w:ascii="Open Sans" w:eastAsia="Open Sans" w:hAnsi="Open Sans" w:cs="Open Sans"/>
          <w:color w:val="4B4B4B"/>
          <w:sz w:val="21"/>
          <w:szCs w:val="21"/>
        </w:rPr>
        <w:t>Forsythia</w:t>
      </w:r>
      <w:proofErr w:type="spellEnd"/>
      <w:r w:rsidRPr="6ACBB8FC">
        <w:rPr>
          <w:rFonts w:ascii="Open Sans" w:eastAsia="Open Sans" w:hAnsi="Open Sans" w:cs="Open Sans"/>
          <w:color w:val="4B4B4B"/>
          <w:sz w:val="21"/>
          <w:szCs w:val="21"/>
        </w:rPr>
        <w:t>), orgovánu (</w:t>
      </w:r>
      <w:proofErr w:type="spellStart"/>
      <w:r w:rsidRPr="6ACBB8FC">
        <w:rPr>
          <w:rFonts w:ascii="Open Sans" w:eastAsia="Open Sans" w:hAnsi="Open Sans" w:cs="Open Sans"/>
          <w:color w:val="4B4B4B"/>
          <w:sz w:val="21"/>
          <w:szCs w:val="21"/>
        </w:rPr>
        <w:t>Syringa</w:t>
      </w:r>
      <w:proofErr w:type="spellEnd"/>
      <w:r w:rsidRPr="6ACBB8FC">
        <w:rPr>
          <w:rFonts w:ascii="Open Sans" w:eastAsia="Open Sans" w:hAnsi="Open Sans" w:cs="Open Sans"/>
          <w:color w:val="4B4B4B"/>
          <w:sz w:val="21"/>
          <w:szCs w:val="21"/>
        </w:rPr>
        <w:t xml:space="preserve">) alebo </w:t>
      </w:r>
      <w:proofErr w:type="spellStart"/>
      <w:r w:rsidRPr="6ACBB8FC">
        <w:rPr>
          <w:rFonts w:ascii="Open Sans" w:eastAsia="Open Sans" w:hAnsi="Open Sans" w:cs="Open Sans"/>
          <w:color w:val="4B4B4B"/>
          <w:sz w:val="21"/>
          <w:szCs w:val="21"/>
        </w:rPr>
        <w:t>trojpuk</w:t>
      </w:r>
      <w:proofErr w:type="spellEnd"/>
      <w:r w:rsidRPr="6ACBB8FC">
        <w:rPr>
          <w:rFonts w:ascii="Open Sans" w:eastAsia="Open Sans" w:hAnsi="Open Sans" w:cs="Open Sans"/>
          <w:color w:val="4B4B4B"/>
          <w:sz w:val="21"/>
          <w:szCs w:val="21"/>
        </w:rPr>
        <w:t xml:space="preserve"> (</w:t>
      </w:r>
      <w:proofErr w:type="spellStart"/>
      <w:r w:rsidRPr="6ACBB8FC">
        <w:rPr>
          <w:rFonts w:ascii="Open Sans" w:eastAsia="Open Sans" w:hAnsi="Open Sans" w:cs="Open Sans"/>
          <w:color w:val="4B4B4B"/>
          <w:sz w:val="21"/>
          <w:szCs w:val="21"/>
        </w:rPr>
        <w:t>Deitzia</w:t>
      </w:r>
      <w:proofErr w:type="spellEnd"/>
      <w:r w:rsidRPr="6ACBB8FC">
        <w:rPr>
          <w:rFonts w:ascii="Open Sans" w:eastAsia="Open Sans" w:hAnsi="Open Sans" w:cs="Open Sans"/>
          <w:color w:val="4B4B4B"/>
          <w:sz w:val="21"/>
          <w:szCs w:val="21"/>
        </w:rPr>
        <w:t>).</w:t>
      </w:r>
    </w:p>
    <w:p w14:paraId="5468994A" w14:textId="47508667" w:rsidR="6ACBB8FC" w:rsidRDefault="6ACBB8FC" w:rsidP="6ACBB8FC"/>
    <w:p w14:paraId="7B4D1C13" w14:textId="77777777" w:rsidR="000D75F3" w:rsidRDefault="000D75F3" w:rsidP="6ACBB8FC"/>
    <w:p w14:paraId="6A373A73" w14:textId="77777777" w:rsidR="000D75F3" w:rsidRDefault="000D75F3" w:rsidP="6ACBB8FC"/>
    <w:p w14:paraId="636C045D" w14:textId="77777777" w:rsidR="000D75F3" w:rsidRDefault="000D75F3" w:rsidP="6ACBB8FC"/>
    <w:p w14:paraId="38FA4EFA" w14:textId="77777777" w:rsidR="000D75F3" w:rsidRDefault="000D75F3" w:rsidP="6ACBB8FC"/>
    <w:p w14:paraId="2F4D88DA" w14:textId="77777777" w:rsidR="000D75F3" w:rsidRDefault="000D75F3" w:rsidP="6ACBB8FC"/>
    <w:p w14:paraId="12C324CB" w14:textId="77777777" w:rsidR="000D75F3" w:rsidRDefault="000D75F3" w:rsidP="6ACBB8FC"/>
    <w:p w14:paraId="0AB75147" w14:textId="77777777" w:rsidR="000D75F3" w:rsidRDefault="000D75F3" w:rsidP="6ACBB8FC"/>
    <w:p w14:paraId="18ECA01A" w14:textId="77777777" w:rsidR="000D75F3" w:rsidRDefault="000D75F3" w:rsidP="6ACBB8FC"/>
    <w:p w14:paraId="0F2ED3AE" w14:textId="10E8D4DB" w:rsidR="000D75F3" w:rsidRDefault="000D75F3" w:rsidP="6ACBB8F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831514" wp14:editId="639FF03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24425" cy="9848850"/>
            <wp:effectExtent l="0" t="0" r="9525" b="0"/>
            <wp:wrapSquare wrapText="bothSides"/>
            <wp:docPr id="199664668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75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5A1A1AE"/>
    <w:rsid w:val="000D75F3"/>
    <w:rsid w:val="001B1691"/>
    <w:rsid w:val="2CB6799C"/>
    <w:rsid w:val="3045BC90"/>
    <w:rsid w:val="3FA823FA"/>
    <w:rsid w:val="5007151C"/>
    <w:rsid w:val="55A1A1AE"/>
    <w:rsid w:val="6ACBB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1A1AE"/>
  <w15:chartTrackingRefBased/>
  <w15:docId w15:val="{7DB162DE-3087-4E52-876B-BDAF781A9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3">
    <w:name w:val="heading 3"/>
    <w:basedOn w:val="Normlny"/>
    <w:next w:val="Normlny"/>
    <w:uiPriority w:val="9"/>
    <w:unhideWhenUsed/>
    <w:qFormat/>
    <w:rsid w:val="6ACBB8FC"/>
    <w:pPr>
      <w:keepNext/>
      <w:keepLines/>
      <w:spacing w:before="160" w:after="80"/>
      <w:outlineLvl w:val="2"/>
    </w:pPr>
    <w:rPr>
      <w:rFonts w:eastAsiaTheme="minorEastAsia" w:cstheme="majorEastAsia"/>
      <w:color w:val="0F476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Môciková Jessica, Mgr.</dc:creator>
  <cp:keywords/>
  <dc:description/>
  <cp:lastModifiedBy>Môciková Jessica, Mgr.</cp:lastModifiedBy>
  <cp:revision>3</cp:revision>
  <dcterms:created xsi:type="dcterms:W3CDTF">2024-11-26T09:26:00Z</dcterms:created>
  <dcterms:modified xsi:type="dcterms:W3CDTF">2024-11-26T10:37:00Z</dcterms:modified>
</cp:coreProperties>
</file>